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3BFAB" w14:textId="77777777" w:rsidR="004073ED" w:rsidRPr="007B4E00" w:rsidRDefault="004073ED" w:rsidP="004073ED">
      <w:pPr>
        <w:spacing w:line="280" w:lineRule="exact"/>
        <w:rPr>
          <w:rFonts w:ascii="Times" w:hAnsi="Times" w:cs="Arial"/>
          <w:b/>
          <w:bCs/>
          <w:lang w:val="en-GB"/>
        </w:rPr>
      </w:pPr>
      <w:r>
        <w:rPr>
          <w:rFonts w:ascii="Times" w:hAnsi="Times" w:cs="Arial"/>
          <w:b/>
          <w:bCs/>
          <w:lang w:val="en-GB"/>
        </w:rPr>
        <w:t>WHO Executive Board 146</w:t>
      </w:r>
      <w:r w:rsidRPr="007B4E00">
        <w:rPr>
          <w:rFonts w:ascii="Times" w:hAnsi="Times" w:cs="Arial"/>
          <w:b/>
          <w:bCs/>
          <w:vertAlign w:val="superscript"/>
          <w:lang w:val="en-GB"/>
        </w:rPr>
        <w:t>th</w:t>
      </w:r>
      <w:r>
        <w:rPr>
          <w:rFonts w:ascii="Times" w:hAnsi="Times" w:cs="Arial"/>
          <w:b/>
          <w:bCs/>
          <w:lang w:val="en-GB"/>
        </w:rPr>
        <w:t xml:space="preserve"> session</w:t>
      </w:r>
    </w:p>
    <w:p w14:paraId="4C9629A0" w14:textId="0C42DB0F" w:rsidR="00F15960" w:rsidRDefault="001B2785" w:rsidP="00F15960">
      <w:pPr>
        <w:spacing w:line="280" w:lineRule="exact"/>
        <w:rPr>
          <w:rFonts w:ascii="Times" w:hAnsi="Times" w:cstheme="minorHAnsi"/>
          <w:b/>
          <w:bCs/>
          <w:lang w:val="en-US"/>
        </w:rPr>
      </w:pPr>
      <w:r>
        <w:rPr>
          <w:rFonts w:ascii="Times" w:hAnsi="Times" w:cstheme="minorHAnsi"/>
          <w:b/>
          <w:bCs/>
          <w:lang w:val="en-US"/>
        </w:rPr>
        <w:t>EB</w:t>
      </w:r>
      <w:r w:rsidR="004073ED">
        <w:rPr>
          <w:rFonts w:ascii="Times" w:hAnsi="Times" w:cstheme="minorHAnsi"/>
          <w:b/>
          <w:bCs/>
          <w:lang w:val="en-US"/>
        </w:rPr>
        <w:t>146/</w:t>
      </w:r>
      <w:r w:rsidR="00F15960">
        <w:rPr>
          <w:rFonts w:ascii="Times" w:hAnsi="Times" w:cstheme="minorHAnsi"/>
          <w:b/>
          <w:bCs/>
          <w:lang w:val="en-US"/>
        </w:rPr>
        <w:t xml:space="preserve">20 - </w:t>
      </w:r>
      <w:r w:rsidR="00F15960" w:rsidRPr="00F15960">
        <w:rPr>
          <w:rFonts w:ascii="Times" w:hAnsi="Times" w:cstheme="minorHAnsi"/>
          <w:b/>
          <w:bCs/>
          <w:lang w:val="en-US"/>
        </w:rPr>
        <w:t xml:space="preserve">Data and innovation: draft </w:t>
      </w:r>
      <w:r w:rsidR="004073ED">
        <w:rPr>
          <w:rFonts w:ascii="Times" w:hAnsi="Times" w:cstheme="minorHAnsi"/>
          <w:b/>
          <w:bCs/>
          <w:lang w:val="en-US"/>
        </w:rPr>
        <w:t>G</w:t>
      </w:r>
      <w:r w:rsidR="00F15960" w:rsidRPr="00F15960">
        <w:rPr>
          <w:rFonts w:ascii="Times" w:hAnsi="Times" w:cstheme="minorHAnsi"/>
          <w:b/>
          <w:bCs/>
          <w:lang w:val="en-US"/>
        </w:rPr>
        <w:t xml:space="preserve">lobal </w:t>
      </w:r>
      <w:r w:rsidR="004073ED">
        <w:rPr>
          <w:rFonts w:ascii="Times" w:hAnsi="Times" w:cstheme="minorHAnsi"/>
          <w:b/>
          <w:bCs/>
          <w:lang w:val="en-US"/>
        </w:rPr>
        <w:t>S</w:t>
      </w:r>
      <w:r w:rsidR="00703939">
        <w:rPr>
          <w:rFonts w:ascii="Times" w:hAnsi="Times" w:cstheme="minorHAnsi"/>
          <w:b/>
          <w:bCs/>
          <w:lang w:val="en-US"/>
        </w:rPr>
        <w:t>t</w:t>
      </w:r>
      <w:bookmarkStart w:id="0" w:name="_GoBack"/>
      <w:bookmarkEnd w:id="0"/>
      <w:r w:rsidR="00F15960" w:rsidRPr="00F15960">
        <w:rPr>
          <w:rFonts w:ascii="Times" w:hAnsi="Times" w:cstheme="minorHAnsi"/>
          <w:b/>
          <w:bCs/>
          <w:lang w:val="en-US"/>
        </w:rPr>
        <w:t>rategy on digital healt</w:t>
      </w:r>
      <w:r w:rsidR="00A50F3B">
        <w:rPr>
          <w:rFonts w:ascii="Times" w:hAnsi="Times" w:cstheme="minorHAnsi"/>
          <w:b/>
          <w:bCs/>
          <w:lang w:val="en-US"/>
        </w:rPr>
        <w:t>h</w:t>
      </w:r>
    </w:p>
    <w:p w14:paraId="66F09A24" w14:textId="77777777" w:rsidR="00F15960" w:rsidRPr="00F15960" w:rsidRDefault="00F15960" w:rsidP="00F15960">
      <w:pPr>
        <w:spacing w:line="280" w:lineRule="exact"/>
        <w:rPr>
          <w:rFonts w:ascii="Times" w:hAnsi="Times" w:cstheme="minorHAnsi"/>
          <w:b/>
          <w:bCs/>
          <w:lang w:val="en-US"/>
        </w:rPr>
      </w:pPr>
    </w:p>
    <w:p w14:paraId="37C7BC7D" w14:textId="1F69F997" w:rsidR="00F15960" w:rsidRPr="00F15960" w:rsidRDefault="00F15960" w:rsidP="00F15960">
      <w:pPr>
        <w:pStyle w:val="NormalWeb"/>
        <w:spacing w:before="0" w:beforeAutospacing="0" w:after="0" w:afterAutospacing="0" w:line="280" w:lineRule="exact"/>
        <w:rPr>
          <w:rFonts w:ascii="Times" w:hAnsi="Times" w:cstheme="minorBidi"/>
          <w:lang w:val="en-US"/>
        </w:rPr>
      </w:pPr>
      <w:r w:rsidRPr="00F15960">
        <w:rPr>
          <w:rFonts w:ascii="Times" w:hAnsi="Times" w:cstheme="minorBidi"/>
          <w:lang w:val="en-US"/>
        </w:rPr>
        <w:t>Distinguished Delegates</w:t>
      </w:r>
    </w:p>
    <w:p w14:paraId="0496C754" w14:textId="77777777" w:rsidR="00F15960" w:rsidRPr="00F15960" w:rsidRDefault="00F15960" w:rsidP="00F15960">
      <w:pPr>
        <w:pStyle w:val="NormalWeb"/>
        <w:spacing w:before="0" w:beforeAutospacing="0" w:after="0" w:afterAutospacing="0" w:line="280" w:lineRule="exact"/>
        <w:rPr>
          <w:rFonts w:ascii="Times" w:hAnsi="Times"/>
          <w:lang w:val="en-US"/>
        </w:rPr>
      </w:pPr>
    </w:p>
    <w:p w14:paraId="276992AC" w14:textId="04D37900" w:rsidR="00F15960" w:rsidRDefault="00F15960" w:rsidP="00F15960">
      <w:pPr>
        <w:pStyle w:val="NormalWeb"/>
        <w:spacing w:before="0" w:beforeAutospacing="0" w:after="0" w:afterAutospacing="0" w:line="280" w:lineRule="exact"/>
        <w:rPr>
          <w:rFonts w:ascii="Times" w:hAnsi="Times" w:cstheme="minorBidi"/>
          <w:lang w:val="en-US"/>
        </w:rPr>
      </w:pPr>
      <w:r w:rsidRPr="00F15960">
        <w:rPr>
          <w:rFonts w:ascii="Times" w:hAnsi="Times" w:cstheme="minorBidi"/>
          <w:lang w:val="en-US"/>
        </w:rPr>
        <w:t>Thank you for the opportunity to speak on behalf of the World Medical Association</w:t>
      </w:r>
      <w:r w:rsidR="004073ED">
        <w:rPr>
          <w:rFonts w:ascii="Times" w:hAnsi="Times" w:cstheme="minorBidi"/>
          <w:lang w:val="en-US"/>
        </w:rPr>
        <w:t xml:space="preserve"> </w:t>
      </w:r>
      <w:r w:rsidRPr="00F15960">
        <w:rPr>
          <w:rFonts w:ascii="Times" w:hAnsi="Times" w:cstheme="minorBidi"/>
          <w:lang w:val="en-US"/>
        </w:rPr>
        <w:t>represent</w:t>
      </w:r>
      <w:r w:rsidR="004073ED">
        <w:rPr>
          <w:rFonts w:ascii="Times" w:hAnsi="Times" w:cstheme="minorBidi"/>
          <w:lang w:val="en-US"/>
        </w:rPr>
        <w:t>ing</w:t>
      </w:r>
      <w:r w:rsidRPr="00F15960">
        <w:rPr>
          <w:rFonts w:ascii="Times" w:hAnsi="Times" w:cstheme="minorBidi"/>
          <w:lang w:val="en-US"/>
        </w:rPr>
        <w:t xml:space="preserve"> 9 million physicians </w:t>
      </w:r>
      <w:r w:rsidR="004073ED">
        <w:rPr>
          <w:rFonts w:ascii="Times" w:hAnsi="Times" w:cstheme="minorBidi"/>
          <w:lang w:val="en-US"/>
        </w:rPr>
        <w:t>worldwide</w:t>
      </w:r>
      <w:r w:rsidRPr="00F15960">
        <w:rPr>
          <w:rFonts w:ascii="Times" w:hAnsi="Times" w:cstheme="minorBidi"/>
          <w:lang w:val="en-US"/>
        </w:rPr>
        <w:t>.</w:t>
      </w:r>
    </w:p>
    <w:p w14:paraId="6ECB168F" w14:textId="77777777" w:rsidR="00F15960" w:rsidRPr="00F15960" w:rsidRDefault="00F15960" w:rsidP="00F15960">
      <w:pPr>
        <w:pStyle w:val="NormalWeb"/>
        <w:spacing w:before="0" w:beforeAutospacing="0" w:after="0" w:afterAutospacing="0" w:line="280" w:lineRule="exact"/>
        <w:rPr>
          <w:rFonts w:ascii="Times" w:hAnsi="Times" w:cstheme="minorHAnsi"/>
          <w:lang w:val="en-US"/>
        </w:rPr>
      </w:pPr>
    </w:p>
    <w:p w14:paraId="182C89F5" w14:textId="6B47BFAA" w:rsidR="00F15960" w:rsidRDefault="00F15960" w:rsidP="00F15960">
      <w:pPr>
        <w:spacing w:line="280" w:lineRule="exact"/>
        <w:rPr>
          <w:rFonts w:ascii="Times" w:hAnsi="Times"/>
          <w:lang w:val="en-US"/>
        </w:rPr>
      </w:pPr>
      <w:r w:rsidRPr="00F15960">
        <w:rPr>
          <w:rFonts w:ascii="Times" w:hAnsi="Times"/>
          <w:lang w:val="en-US"/>
        </w:rPr>
        <w:t xml:space="preserve">We welcome the draft Global Strategy on Digital Health, particularly the recommendation to strengthen the digital health sector governance. We recognize the potential of digital health </w:t>
      </w:r>
      <w:r w:rsidRPr="00F15960">
        <w:rPr>
          <w:rFonts w:ascii="Times" w:eastAsia="Calibri" w:hAnsi="Times" w:cs="Calibri"/>
          <w:color w:val="000000" w:themeColor="text1"/>
          <w:lang w:val="en-US"/>
        </w:rPr>
        <w:t>to supplement traditional ways of delivering healthcare and recall that its driving force must be the need to improve the quality of care.</w:t>
      </w:r>
      <w:r w:rsidRPr="00F15960">
        <w:rPr>
          <w:rFonts w:ascii="Times" w:hAnsi="Times"/>
          <w:lang w:val="en-US"/>
        </w:rPr>
        <w:t xml:space="preserve"> “Do no harm” is a core value of our professional ethics</w:t>
      </w:r>
      <w:r>
        <w:rPr>
          <w:rFonts w:ascii="Times" w:hAnsi="Times"/>
          <w:lang w:val="en-US"/>
        </w:rPr>
        <w:t xml:space="preserve"> t</w:t>
      </w:r>
      <w:r w:rsidRPr="00F15960">
        <w:rPr>
          <w:rFonts w:ascii="Times" w:hAnsi="Times"/>
          <w:lang w:val="en-US"/>
        </w:rPr>
        <w:t>hat must be valid for digital health as well. We therefore call on you to ensure the following:</w:t>
      </w:r>
    </w:p>
    <w:p w14:paraId="6DAA14BA" w14:textId="77777777" w:rsidR="00F15960" w:rsidRPr="00F15960" w:rsidRDefault="00F15960" w:rsidP="00F15960">
      <w:pPr>
        <w:spacing w:line="280" w:lineRule="exact"/>
        <w:rPr>
          <w:rFonts w:ascii="Times" w:hAnsi="Times"/>
          <w:lang w:val="en-US"/>
        </w:rPr>
      </w:pPr>
    </w:p>
    <w:p w14:paraId="7FB53BB0" w14:textId="77777777" w:rsidR="00F15960" w:rsidRPr="00F15960" w:rsidRDefault="00F15960" w:rsidP="00F15960">
      <w:pPr>
        <w:pStyle w:val="Paragraphedeliste"/>
        <w:numPr>
          <w:ilvl w:val="0"/>
          <w:numId w:val="30"/>
        </w:numPr>
        <w:spacing w:line="280" w:lineRule="exact"/>
        <w:rPr>
          <w:rFonts w:ascii="Times" w:hAnsi="Times"/>
          <w:lang w:val="en-US"/>
        </w:rPr>
      </w:pPr>
      <w:r w:rsidRPr="00F15960">
        <w:rPr>
          <w:rFonts w:ascii="Times" w:hAnsi="Times"/>
          <w:lang w:val="en-US"/>
        </w:rPr>
        <w:t>Member states should develop and implement legislative</w:t>
      </w:r>
      <w:r w:rsidRPr="00F15960">
        <w:rPr>
          <w:rFonts w:ascii="Times" w:eastAsia="Times New Roman" w:hAnsi="Times"/>
          <w:lang w:val="en-US" w:eastAsia="fr-FR"/>
        </w:rPr>
        <w:t xml:space="preserve"> </w:t>
      </w:r>
      <w:r w:rsidRPr="00F15960">
        <w:rPr>
          <w:rFonts w:ascii="Times" w:hAnsi="Times"/>
          <w:lang w:val="en-US"/>
        </w:rPr>
        <w:t>framework for Digital Health to prevent manipulation that may disrupt global health security and increase inequality.</w:t>
      </w:r>
    </w:p>
    <w:p w14:paraId="66BFDE46" w14:textId="1F7EB81B" w:rsidR="00F15960" w:rsidRPr="00F15960" w:rsidRDefault="00F15960" w:rsidP="00F15960">
      <w:pPr>
        <w:pStyle w:val="Paragraphedeliste"/>
        <w:numPr>
          <w:ilvl w:val="0"/>
          <w:numId w:val="30"/>
        </w:numPr>
        <w:spacing w:line="280" w:lineRule="exact"/>
        <w:rPr>
          <w:rFonts w:ascii="Times" w:hAnsi="Times" w:cstheme="minorHAnsi"/>
          <w:lang w:val="en-US"/>
        </w:rPr>
      </w:pPr>
      <w:r w:rsidRPr="00F15960">
        <w:rPr>
          <w:rFonts w:ascii="Times" w:hAnsi="Times"/>
          <w:lang w:val="en-US"/>
        </w:rPr>
        <w:t xml:space="preserve">The regulatory oversight </w:t>
      </w:r>
      <w:r>
        <w:rPr>
          <w:rFonts w:ascii="Times" w:hAnsi="Times"/>
          <w:lang w:val="en-US"/>
        </w:rPr>
        <w:t xml:space="preserve">should </w:t>
      </w:r>
      <w:r w:rsidRPr="00F15960">
        <w:rPr>
          <w:rFonts w:ascii="Times" w:hAnsi="Times"/>
          <w:lang w:val="en-US"/>
        </w:rPr>
        <w:t>bring in domains of clinical/ interventional effectiveness, as well as data privacy and security</w:t>
      </w:r>
      <w:r w:rsidR="004073ED">
        <w:rPr>
          <w:rFonts w:ascii="Times" w:hAnsi="Times"/>
          <w:lang w:val="en-US"/>
        </w:rPr>
        <w:t>,</w:t>
      </w:r>
      <w:r w:rsidRPr="00F15960">
        <w:rPr>
          <w:rFonts w:ascii="Times" w:hAnsi="Times"/>
          <w:lang w:val="en-US"/>
        </w:rPr>
        <w:t xml:space="preserve"> with clear sanctions for breaches of these regulations. </w:t>
      </w:r>
    </w:p>
    <w:p w14:paraId="69BF0FB3" w14:textId="77777777" w:rsidR="00F15960" w:rsidRPr="00F15960" w:rsidRDefault="00F15960" w:rsidP="00F15960">
      <w:pPr>
        <w:pStyle w:val="Paragraphedeliste"/>
        <w:numPr>
          <w:ilvl w:val="0"/>
          <w:numId w:val="30"/>
        </w:numPr>
        <w:spacing w:line="280" w:lineRule="exact"/>
        <w:rPr>
          <w:rFonts w:ascii="Times" w:hAnsi="Times"/>
          <w:lang w:val="en-US"/>
        </w:rPr>
      </w:pPr>
      <w:r w:rsidRPr="00F15960">
        <w:rPr>
          <w:rFonts w:ascii="Times" w:hAnsi="Times"/>
          <w:lang w:val="en-US"/>
        </w:rPr>
        <w:t xml:space="preserve">Digital Health development and delivery should underpin ethics and follow a person-centered approach, </w:t>
      </w:r>
      <w:r w:rsidRPr="00F15960">
        <w:rPr>
          <w:rFonts w:ascii="Times" w:hAnsi="Times" w:cstheme="minorBidi"/>
          <w:lang w:val="en-US"/>
        </w:rPr>
        <w:t>by engaging patients and health professionals in the development o</w:t>
      </w:r>
      <w:r w:rsidRPr="00F15960">
        <w:rPr>
          <w:rFonts w:ascii="Times" w:hAnsi="Times"/>
          <w:lang w:val="en-US"/>
        </w:rPr>
        <w:t xml:space="preserve">f technologies. </w:t>
      </w:r>
    </w:p>
    <w:p w14:paraId="61CA31EC" w14:textId="77777777" w:rsidR="00F15960" w:rsidRPr="00F15960" w:rsidRDefault="00F15960" w:rsidP="00F15960">
      <w:pPr>
        <w:pStyle w:val="Paragraphedeliste"/>
        <w:numPr>
          <w:ilvl w:val="0"/>
          <w:numId w:val="30"/>
        </w:numPr>
        <w:spacing w:line="280" w:lineRule="exact"/>
        <w:rPr>
          <w:rFonts w:ascii="Times" w:eastAsia="Times New Roman" w:hAnsi="Times"/>
          <w:lang w:val="en-US" w:eastAsia="fr-FR"/>
        </w:rPr>
      </w:pPr>
      <w:r w:rsidRPr="00F15960">
        <w:rPr>
          <w:rFonts w:ascii="Times" w:hAnsi="Times"/>
          <w:lang w:val="en-US" w:eastAsia="en-US"/>
        </w:rPr>
        <w:t>As</w:t>
      </w:r>
      <w:r w:rsidRPr="00F15960">
        <w:rPr>
          <w:rFonts w:ascii="Times" w:eastAsia="Times New Roman" w:hAnsi="Times"/>
          <w:lang w:val="en-US" w:eastAsia="fr-FR"/>
        </w:rPr>
        <w:t xml:space="preserve"> laid down in the </w:t>
      </w:r>
      <w:hyperlink r:id="rId7" w:history="1">
        <w:r w:rsidRPr="00F15960">
          <w:rPr>
            <w:rStyle w:val="Lienhypertexte"/>
            <w:rFonts w:ascii="Times" w:eastAsia="Times New Roman" w:hAnsi="Times" w:cstheme="minorBidi"/>
            <w:lang w:val="en-US" w:eastAsia="fr-FR"/>
          </w:rPr>
          <w:t>WMA Declaration of Taipei on ethical considerations regarding health databases and biobanks</w:t>
        </w:r>
      </w:hyperlink>
      <w:r w:rsidRPr="00F15960">
        <w:rPr>
          <w:rFonts w:ascii="Times" w:eastAsia="Times New Roman" w:hAnsi="Times"/>
          <w:lang w:val="en-US" w:eastAsia="fr-FR"/>
        </w:rPr>
        <w:t>, key ethical principles in collecting and using health data, including the principles of confidentiality and informed consent, should be respected at all stages.</w:t>
      </w:r>
    </w:p>
    <w:p w14:paraId="24EA1A28" w14:textId="77777777" w:rsidR="00F15960" w:rsidRPr="00F15960" w:rsidRDefault="00F15960" w:rsidP="00F15960">
      <w:pPr>
        <w:pStyle w:val="Paragraphedeliste"/>
        <w:numPr>
          <w:ilvl w:val="0"/>
          <w:numId w:val="30"/>
        </w:numPr>
        <w:spacing w:line="280" w:lineRule="exact"/>
        <w:rPr>
          <w:rFonts w:ascii="Times" w:hAnsi="Times"/>
          <w:color w:val="000000" w:themeColor="text1"/>
          <w:lang w:val="en-US"/>
        </w:rPr>
      </w:pPr>
      <w:r w:rsidRPr="00F15960">
        <w:rPr>
          <w:rFonts w:ascii="Times" w:hAnsi="Times"/>
          <w:color w:val="000000" w:themeColor="text1"/>
          <w:lang w:val="en-US"/>
        </w:rPr>
        <w:t xml:space="preserve">Mobile health is a form of digital health offering advantages to patients otherwise unable to access health care. However, it is not universally appropriate. Where face-to-face treatment is available, this is advantageous to the patient and should be privileged as recommended in our </w:t>
      </w:r>
      <w:hyperlink r:id="rId8" w:history="1">
        <w:r w:rsidRPr="00F15960">
          <w:rPr>
            <w:rStyle w:val="Lienhypertexte"/>
            <w:rFonts w:ascii="Times" w:hAnsi="Times"/>
            <w:lang w:val="en-US"/>
          </w:rPr>
          <w:t>Statement on mobile health</w:t>
        </w:r>
      </w:hyperlink>
      <w:r w:rsidRPr="00F15960">
        <w:rPr>
          <w:rFonts w:ascii="Times" w:hAnsi="Times"/>
          <w:color w:val="000000" w:themeColor="text1"/>
          <w:lang w:val="en-US"/>
        </w:rPr>
        <w:t>.</w:t>
      </w:r>
    </w:p>
    <w:p w14:paraId="43FA27D4" w14:textId="77777777" w:rsidR="00F15960" w:rsidRPr="00F15960" w:rsidRDefault="00F15960" w:rsidP="00F15960">
      <w:pPr>
        <w:pStyle w:val="Paragraphedeliste"/>
        <w:numPr>
          <w:ilvl w:val="0"/>
          <w:numId w:val="30"/>
        </w:numPr>
        <w:spacing w:line="280" w:lineRule="exact"/>
        <w:rPr>
          <w:rFonts w:ascii="Times" w:hAnsi="Times"/>
          <w:lang w:val="en-US"/>
        </w:rPr>
      </w:pPr>
      <w:r w:rsidRPr="00F15960">
        <w:rPr>
          <w:rFonts w:ascii="Times" w:hAnsi="Times"/>
          <w:lang w:val="en-US"/>
        </w:rPr>
        <w:t>Great e</w:t>
      </w:r>
      <w:r w:rsidRPr="00F15960">
        <w:rPr>
          <w:rFonts w:ascii="Times" w:hAnsi="Times" w:cstheme="minorBidi"/>
          <w:lang w:val="en-US"/>
        </w:rPr>
        <w:t xml:space="preserve">fforts </w:t>
      </w:r>
      <w:r w:rsidRPr="00F15960">
        <w:rPr>
          <w:rFonts w:ascii="Times" w:hAnsi="Times"/>
          <w:lang w:val="en-US"/>
        </w:rPr>
        <w:t>should be</w:t>
      </w:r>
      <w:r w:rsidRPr="00F15960">
        <w:rPr>
          <w:rFonts w:ascii="Times" w:hAnsi="Times" w:cstheme="minorBidi"/>
          <w:lang w:val="en-US"/>
        </w:rPr>
        <w:t xml:space="preserve"> made to </w:t>
      </w:r>
      <w:r w:rsidRPr="00F15960">
        <w:rPr>
          <w:rFonts w:ascii="Times" w:eastAsia="Times New Roman" w:hAnsi="Times" w:cstheme="minorBidi"/>
          <w:lang w:val="en-US" w:eastAsia="fr-FR"/>
        </w:rPr>
        <w:t xml:space="preserve">equip and educate the health workforce, including physicians, on </w:t>
      </w:r>
      <w:r w:rsidRPr="00F15960">
        <w:rPr>
          <w:rFonts w:ascii="Times" w:hAnsi="Times" w:cstheme="minorBidi"/>
          <w:lang w:val="en-US"/>
        </w:rPr>
        <w:t>digital skills and the evaluation of digital technologies.</w:t>
      </w:r>
    </w:p>
    <w:p w14:paraId="6ED6CBCD" w14:textId="77777777" w:rsidR="00F15960" w:rsidRPr="00F15960" w:rsidRDefault="00F15960" w:rsidP="00F15960">
      <w:pPr>
        <w:spacing w:line="280" w:lineRule="exact"/>
        <w:rPr>
          <w:rFonts w:ascii="Times" w:hAnsi="Times" w:cstheme="minorHAnsi"/>
          <w:lang w:val="en-US"/>
        </w:rPr>
      </w:pPr>
    </w:p>
    <w:p w14:paraId="415564DE" w14:textId="5FE13446" w:rsidR="00F15960" w:rsidRPr="00F15960" w:rsidRDefault="00F15960" w:rsidP="00F15960">
      <w:pPr>
        <w:spacing w:line="280" w:lineRule="exact"/>
        <w:rPr>
          <w:rFonts w:ascii="Times" w:hAnsi="Times" w:cstheme="minorHAnsi"/>
          <w:lang w:val="en-US"/>
        </w:rPr>
      </w:pPr>
      <w:r w:rsidRPr="00F15960">
        <w:rPr>
          <w:rFonts w:ascii="Times" w:hAnsi="Times" w:cstheme="minorHAnsi"/>
          <w:lang w:val="en-US"/>
        </w:rPr>
        <w:t>Thank you</w:t>
      </w:r>
    </w:p>
    <w:p w14:paraId="1B456FC7" w14:textId="51DDED00" w:rsidR="00423E11" w:rsidRPr="00F15960" w:rsidRDefault="00423E11" w:rsidP="00F15960">
      <w:pPr>
        <w:spacing w:line="280" w:lineRule="exact"/>
        <w:rPr>
          <w:rFonts w:ascii="Times" w:hAnsi="Times"/>
          <w:lang w:val="en-GB"/>
        </w:rPr>
      </w:pPr>
    </w:p>
    <w:sectPr w:rsidR="00423E11" w:rsidRPr="00F15960" w:rsidSect="005817E1">
      <w:headerReference w:type="default" r:id="rId9"/>
      <w:headerReference w:type="first" r:id="rId10"/>
      <w:footerReference w:type="first" r:id="rId11"/>
      <w:pgSz w:w="11906" w:h="16838"/>
      <w:pgMar w:top="1384" w:right="849" w:bottom="1134" w:left="1417" w:header="708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89B48" w14:textId="77777777" w:rsidR="009842D3" w:rsidRDefault="009842D3">
      <w:r>
        <w:separator/>
      </w:r>
    </w:p>
  </w:endnote>
  <w:endnote w:type="continuationSeparator" w:id="0">
    <w:p w14:paraId="493AAED5" w14:textId="77777777" w:rsidR="009842D3" w:rsidRDefault="0098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0"/>
      <w:gridCol w:w="972"/>
      <w:gridCol w:w="3070"/>
      <w:gridCol w:w="2228"/>
    </w:tblGrid>
    <w:tr w:rsidR="00957BFD" w:rsidRPr="006C3839" w14:paraId="0D3BABAC" w14:textId="77777777">
      <w:tc>
        <w:tcPr>
          <w:tcW w:w="3425" w:type="dxa"/>
        </w:tcPr>
        <w:p w14:paraId="7F6A828D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978" w:type="dxa"/>
        </w:tcPr>
        <w:p w14:paraId="341F5761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3116" w:type="dxa"/>
        </w:tcPr>
        <w:p w14:paraId="3167FD54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  <w:tc>
        <w:tcPr>
          <w:tcW w:w="2261" w:type="dxa"/>
        </w:tcPr>
        <w:p w14:paraId="7D6E583A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</w:tr>
    <w:tr w:rsidR="00957BFD" w:rsidRPr="006C3839" w14:paraId="54E4472F" w14:textId="77777777">
      <w:tc>
        <w:tcPr>
          <w:tcW w:w="3425" w:type="dxa"/>
        </w:tcPr>
        <w:p w14:paraId="4535B00A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Centre International de Bureaux</w:t>
          </w:r>
        </w:p>
      </w:tc>
      <w:tc>
        <w:tcPr>
          <w:tcW w:w="978" w:type="dxa"/>
        </w:tcPr>
        <w:p w14:paraId="37AF3F3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FEIN</w:t>
          </w:r>
        </w:p>
      </w:tc>
      <w:tc>
        <w:tcPr>
          <w:tcW w:w="3116" w:type="dxa"/>
        </w:tcPr>
        <w:p w14:paraId="5918AA58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13-2566243</w:t>
          </w:r>
        </w:p>
      </w:tc>
      <w:tc>
        <w:tcPr>
          <w:tcW w:w="2261" w:type="dxa"/>
        </w:tcPr>
        <w:p w14:paraId="224BE6DC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</w:p>
      </w:tc>
    </w:tr>
    <w:tr w:rsidR="00957BFD" w:rsidRPr="006C3839" w14:paraId="01A01739" w14:textId="77777777">
      <w:tc>
        <w:tcPr>
          <w:tcW w:w="3425" w:type="dxa"/>
        </w:tcPr>
        <w:p w14:paraId="548BB7EE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Immeuble A "Keynes"</w:t>
          </w:r>
        </w:p>
      </w:tc>
      <w:tc>
        <w:tcPr>
          <w:tcW w:w="978" w:type="dxa"/>
        </w:tcPr>
        <w:p w14:paraId="0F1C07D8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Website</w:t>
          </w:r>
        </w:p>
      </w:tc>
      <w:tc>
        <w:tcPr>
          <w:tcW w:w="3116" w:type="dxa"/>
        </w:tcPr>
        <w:p w14:paraId="4165AFE7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www.wma.net</w:t>
          </w:r>
        </w:p>
      </w:tc>
      <w:tc>
        <w:tcPr>
          <w:tcW w:w="2261" w:type="dxa"/>
        </w:tcPr>
        <w:p w14:paraId="751A00DD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Postal Address :</w:t>
          </w:r>
        </w:p>
      </w:tc>
    </w:tr>
    <w:tr w:rsidR="00957BFD" w:rsidRPr="006C3839" w14:paraId="5FD002B3" w14:textId="77777777">
      <w:trPr>
        <w:trHeight w:val="126"/>
      </w:trPr>
      <w:tc>
        <w:tcPr>
          <w:tcW w:w="3425" w:type="dxa"/>
        </w:tcPr>
        <w:p w14:paraId="75A79FC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13, chemin du Levant</w:t>
          </w:r>
        </w:p>
      </w:tc>
      <w:tc>
        <w:tcPr>
          <w:tcW w:w="978" w:type="dxa"/>
        </w:tcPr>
        <w:p w14:paraId="3AA9665E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Telephone</w:t>
          </w:r>
        </w:p>
      </w:tc>
      <w:tc>
        <w:tcPr>
          <w:tcW w:w="3116" w:type="dxa"/>
        </w:tcPr>
        <w:p w14:paraId="0FC8F7B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(33) 4 50 40 75 75</w:t>
          </w:r>
        </w:p>
      </w:tc>
      <w:tc>
        <w:tcPr>
          <w:tcW w:w="2261" w:type="dxa"/>
        </w:tcPr>
        <w:p w14:paraId="2BD32F7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Boîte Postale 63</w:t>
          </w:r>
        </w:p>
      </w:tc>
    </w:tr>
    <w:tr w:rsidR="00957BFD" w:rsidRPr="006C3839" w14:paraId="0E29589F" w14:textId="77777777">
      <w:tc>
        <w:tcPr>
          <w:tcW w:w="3425" w:type="dxa"/>
        </w:tcPr>
        <w:p w14:paraId="4A048882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01210 FERNEY-VOLTAIRE</w:t>
          </w:r>
        </w:p>
      </w:tc>
      <w:tc>
        <w:tcPr>
          <w:tcW w:w="978" w:type="dxa"/>
        </w:tcPr>
        <w:p w14:paraId="2AF5CA41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Fax</w:t>
          </w:r>
        </w:p>
      </w:tc>
      <w:tc>
        <w:tcPr>
          <w:tcW w:w="3116" w:type="dxa"/>
        </w:tcPr>
        <w:p w14:paraId="325CF01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(33) 4 50 40 59 37</w:t>
          </w:r>
        </w:p>
      </w:tc>
      <w:tc>
        <w:tcPr>
          <w:tcW w:w="2261" w:type="dxa"/>
        </w:tcPr>
        <w:p w14:paraId="327358FB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01210 FERNEY-VOLTAIRE Cedex</w:t>
          </w:r>
        </w:p>
      </w:tc>
    </w:tr>
    <w:tr w:rsidR="00957BFD" w:rsidRPr="006C3839" w14:paraId="53E40088" w14:textId="77777777">
      <w:tc>
        <w:tcPr>
          <w:tcW w:w="3425" w:type="dxa"/>
        </w:tcPr>
        <w:p w14:paraId="6339918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France</w:t>
          </w:r>
        </w:p>
      </w:tc>
      <w:tc>
        <w:tcPr>
          <w:tcW w:w="978" w:type="dxa"/>
        </w:tcPr>
        <w:p w14:paraId="32907947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E-mail address</w:t>
          </w:r>
        </w:p>
      </w:tc>
      <w:tc>
        <w:tcPr>
          <w:tcW w:w="3116" w:type="dxa"/>
        </w:tcPr>
        <w:p w14:paraId="6B896A16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: wma@wma.net</w:t>
          </w:r>
        </w:p>
      </w:tc>
      <w:tc>
        <w:tcPr>
          <w:tcW w:w="2261" w:type="dxa"/>
        </w:tcPr>
        <w:p w14:paraId="11B7D145" w14:textId="77777777" w:rsidR="00957BFD" w:rsidRPr="006C3839" w:rsidRDefault="00957BFD">
          <w:pPr>
            <w:pStyle w:val="Pieddepage"/>
            <w:rPr>
              <w:rFonts w:ascii="Helvetica" w:hAnsi="Helvetica" w:cs="Helvetica"/>
              <w:color w:val="005881"/>
              <w:sz w:val="12"/>
              <w:szCs w:val="12"/>
            </w:rPr>
          </w:pPr>
          <w:r w:rsidRPr="006C3839">
            <w:rPr>
              <w:rFonts w:ascii="Helvetica" w:hAnsi="Helvetica" w:cs="Helvetica"/>
              <w:color w:val="005881"/>
              <w:sz w:val="12"/>
              <w:szCs w:val="12"/>
            </w:rPr>
            <w:t>France</w:t>
          </w:r>
        </w:p>
      </w:tc>
    </w:tr>
  </w:tbl>
  <w:p w14:paraId="6CF551A5" w14:textId="77777777" w:rsidR="00957BFD" w:rsidRDefault="00957B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9EAAD" w14:textId="77777777" w:rsidR="009842D3" w:rsidRDefault="009842D3">
      <w:r>
        <w:separator/>
      </w:r>
    </w:p>
  </w:footnote>
  <w:footnote w:type="continuationSeparator" w:id="0">
    <w:p w14:paraId="2F0AB998" w14:textId="77777777" w:rsidR="009842D3" w:rsidRDefault="00984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8589" w14:textId="77777777" w:rsidR="00957BFD" w:rsidRDefault="00957BFD">
    <w:pPr>
      <w:pStyle w:val="En-tt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Style w:val="Numrodepage"/>
        <w:rFonts w:ascii="Helvetica" w:hAnsi="Helvetica" w:cs="Helvetica"/>
      </w:rPr>
    </w:pPr>
    <w:r>
      <w:rPr>
        <w:rFonts w:ascii="Helvetica" w:hAnsi="Helvetica" w:cs="Helvetica"/>
      </w:rPr>
      <w:t>WMA</w:t>
    </w:r>
    <w:r>
      <w:rPr>
        <w:rFonts w:ascii="Helvetica" w:hAnsi="Helvetica" w:cs="Helvetica"/>
      </w:rPr>
      <w:tab/>
      <w:t xml:space="preserve">page </w:t>
    </w:r>
    <w:r>
      <w:rPr>
        <w:rStyle w:val="Numrodepage"/>
        <w:rFonts w:ascii="Helvetica" w:hAnsi="Helvetica" w:cs="Helvetica"/>
      </w:rPr>
      <w:fldChar w:fldCharType="begin"/>
    </w:r>
    <w:r>
      <w:rPr>
        <w:rStyle w:val="Numrodepage"/>
        <w:rFonts w:ascii="Helvetica" w:hAnsi="Helvetica" w:cs="Helvetica"/>
      </w:rPr>
      <w:instrText xml:space="preserve"> PAGE </w:instrText>
    </w:r>
    <w:r>
      <w:rPr>
        <w:rStyle w:val="Numrodepage"/>
        <w:rFonts w:ascii="Helvetica" w:hAnsi="Helvetica" w:cs="Helvetica"/>
      </w:rPr>
      <w:fldChar w:fldCharType="separate"/>
    </w:r>
    <w:r w:rsidR="001E083D">
      <w:rPr>
        <w:rStyle w:val="Numrodepage"/>
        <w:rFonts w:ascii="Helvetica" w:hAnsi="Helvetica" w:cs="Helvetica"/>
        <w:noProof/>
      </w:rPr>
      <w:t>2</w:t>
    </w:r>
    <w:r>
      <w:rPr>
        <w:rStyle w:val="Numrodepage"/>
        <w:rFonts w:ascii="Helvetica" w:hAnsi="Helvetica" w:cs="Helvetica"/>
      </w:rPr>
      <w:fldChar w:fldCharType="end"/>
    </w:r>
  </w:p>
  <w:p w14:paraId="636E9888" w14:textId="77777777" w:rsidR="00957BFD" w:rsidRDefault="00957BFD">
    <w:pPr>
      <w:pStyle w:val="En-tte"/>
      <w:pBdr>
        <w:between w:val="single" w:sz="4" w:space="1" w:color="auto"/>
      </w:pBdr>
      <w:tabs>
        <w:tab w:val="clear" w:pos="4536"/>
        <w:tab w:val="clear" w:pos="9072"/>
        <w:tab w:val="right" w:pos="9639"/>
      </w:tabs>
      <w:rPr>
        <w:rFonts w:ascii="Helvetica" w:hAnsi="Helvetica" w:cs="Helveti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3563"/>
    </w:tblGrid>
    <w:tr w:rsidR="00957BFD" w:rsidRPr="006C3839" w14:paraId="6BD3E6F6" w14:textId="77777777">
      <w:trPr>
        <w:trHeight w:val="2268"/>
      </w:trPr>
      <w:tc>
        <w:tcPr>
          <w:tcW w:w="6166" w:type="dxa"/>
        </w:tcPr>
        <w:p w14:paraId="08480369" w14:textId="77777777" w:rsidR="00957BFD" w:rsidRPr="006C3839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</w:rPr>
          </w:pPr>
        </w:p>
        <w:p w14:paraId="4DB79215" w14:textId="77777777" w:rsidR="00957BFD" w:rsidRPr="00094B8F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  <w:lang w:val="en-US"/>
            </w:rPr>
          </w:pPr>
          <w:r w:rsidRPr="00094B8F">
            <w:rPr>
              <w:rFonts w:ascii="Helvetica" w:hAnsi="Helvetica" w:cs="Helvetica"/>
              <w:b/>
              <w:bCs/>
              <w:caps/>
              <w:color w:val="005881"/>
              <w:sz w:val="28"/>
              <w:szCs w:val="28"/>
              <w:lang w:val="en-US"/>
            </w:rPr>
            <w:t>The World Medical Association, Inc.</w:t>
          </w:r>
        </w:p>
        <w:p w14:paraId="166C1FA6" w14:textId="77777777" w:rsidR="00957BFD" w:rsidRPr="0035162B" w:rsidRDefault="00957BFD">
          <w:pPr>
            <w:jc w:val="center"/>
            <w:rPr>
              <w:rFonts w:ascii="Helvetica" w:hAnsi="Helvetica" w:cs="Helvetica"/>
              <w:b/>
              <w:bCs/>
              <w:caps/>
              <w:color w:val="005881"/>
              <w:sz w:val="18"/>
              <w:szCs w:val="18"/>
              <w:lang w:val="en-US"/>
            </w:rPr>
          </w:pPr>
          <w:r w:rsidRPr="0035162B">
            <w:rPr>
              <w:rFonts w:ascii="Helvetica" w:hAnsi="Helvetica" w:cs="Helvetica"/>
              <w:b/>
              <w:bCs/>
              <w:caps/>
              <w:color w:val="005881"/>
              <w:sz w:val="18"/>
              <w:szCs w:val="18"/>
              <w:lang w:val="en-US"/>
            </w:rPr>
            <w:t>L’association MedicalE Mondiale, Inc</w:t>
          </w:r>
        </w:p>
        <w:p w14:paraId="4D06EBFC" w14:textId="77777777" w:rsidR="00957BFD" w:rsidRPr="0035162B" w:rsidRDefault="00957BFD">
          <w:pPr>
            <w:pStyle w:val="Titre1"/>
            <w:rPr>
              <w:sz w:val="28"/>
              <w:szCs w:val="28"/>
              <w:lang w:val="en-US"/>
            </w:rPr>
          </w:pPr>
          <w:r w:rsidRPr="0035162B">
            <w:rPr>
              <w:rFonts w:cs="Helvetica"/>
              <w:lang w:val="en-US"/>
            </w:rPr>
            <w:t>Asociacion medica Mundial, INC</w:t>
          </w:r>
        </w:p>
      </w:tc>
      <w:tc>
        <w:tcPr>
          <w:tcW w:w="3563" w:type="dxa"/>
        </w:tcPr>
        <w:p w14:paraId="1D9803BB" w14:textId="77777777" w:rsidR="00957BFD" w:rsidRPr="006C3839" w:rsidRDefault="00957BFD">
          <w:pPr>
            <w:ind w:right="-50"/>
            <w:jc w:val="right"/>
          </w:pPr>
          <w:r>
            <w:rPr>
              <w:noProof/>
            </w:rPr>
            <w:drawing>
              <wp:inline distT="0" distB="0" distL="0" distR="0" wp14:anchorId="30522854" wp14:editId="5AE1FB5A">
                <wp:extent cx="1681480" cy="13716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5056E4" w14:textId="77777777" w:rsidR="00957BFD" w:rsidRDefault="00957BF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D08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26C2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4B6EC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8142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AEA2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C8D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D5E5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26AA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E408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F26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907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70980"/>
    <w:multiLevelType w:val="hybridMultilevel"/>
    <w:tmpl w:val="2A70534E"/>
    <w:lvl w:ilvl="0" w:tplc="B192C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C1C46"/>
    <w:multiLevelType w:val="hybridMultilevel"/>
    <w:tmpl w:val="D70C79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4093F"/>
    <w:multiLevelType w:val="multilevel"/>
    <w:tmpl w:val="D668EDEA"/>
    <w:lvl w:ilvl="0">
      <w:start w:val="1"/>
      <w:numFmt w:val="bullet"/>
      <w:lvlText w:val="●"/>
      <w:lvlJc w:val="left"/>
      <w:pPr>
        <w:ind w:left="360" w:firstLine="360"/>
      </w:pPr>
      <w:rPr>
        <w:b w:val="0"/>
        <w:u w:val="none"/>
      </w:rPr>
    </w:lvl>
    <w:lvl w:ilvl="1">
      <w:start w:val="1"/>
      <w:numFmt w:val="bullet"/>
      <w:lvlText w:val="○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120" w:firstLine="6120"/>
      </w:pPr>
      <w:rPr>
        <w:u w:val="none"/>
      </w:rPr>
    </w:lvl>
  </w:abstractNum>
  <w:abstractNum w:abstractNumId="14" w15:restartNumberingAfterBreak="0">
    <w:nsid w:val="3BD92211"/>
    <w:multiLevelType w:val="hybridMultilevel"/>
    <w:tmpl w:val="484CF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345C4"/>
    <w:multiLevelType w:val="hybridMultilevel"/>
    <w:tmpl w:val="6FAA3C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990089"/>
    <w:multiLevelType w:val="hybridMultilevel"/>
    <w:tmpl w:val="8C4249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2383A"/>
    <w:multiLevelType w:val="hybridMultilevel"/>
    <w:tmpl w:val="770466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9B32ED"/>
    <w:multiLevelType w:val="hybridMultilevel"/>
    <w:tmpl w:val="D7CEAA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01CEF"/>
    <w:multiLevelType w:val="hybridMultilevel"/>
    <w:tmpl w:val="2D7C6E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22C2B"/>
    <w:multiLevelType w:val="hybridMultilevel"/>
    <w:tmpl w:val="40F45EA6"/>
    <w:lvl w:ilvl="0" w:tplc="E91EC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659"/>
    <w:multiLevelType w:val="hybridMultilevel"/>
    <w:tmpl w:val="FA485EC4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E53C0D"/>
    <w:multiLevelType w:val="hybridMultilevel"/>
    <w:tmpl w:val="9EDCE8C4"/>
    <w:lvl w:ilvl="0" w:tplc="FFFFFFFF"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9E79F2"/>
    <w:multiLevelType w:val="hybridMultilevel"/>
    <w:tmpl w:val="0A50D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45808"/>
    <w:multiLevelType w:val="hybridMultilevel"/>
    <w:tmpl w:val="FA3EE500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F5B49"/>
    <w:multiLevelType w:val="hybridMultilevel"/>
    <w:tmpl w:val="7DF829F8"/>
    <w:lvl w:ilvl="0" w:tplc="DF9AC47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90524"/>
    <w:multiLevelType w:val="hybridMultilevel"/>
    <w:tmpl w:val="D1A40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8C10D0"/>
    <w:multiLevelType w:val="hybridMultilevel"/>
    <w:tmpl w:val="6734CD2A"/>
    <w:lvl w:ilvl="0" w:tplc="ED627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87E25"/>
    <w:multiLevelType w:val="hybridMultilevel"/>
    <w:tmpl w:val="3B5A5290"/>
    <w:lvl w:ilvl="0" w:tplc="0003040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4A18A9"/>
    <w:multiLevelType w:val="hybridMultilevel"/>
    <w:tmpl w:val="673C04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24"/>
  </w:num>
  <w:num w:numId="5">
    <w:abstractNumId w:val="27"/>
  </w:num>
  <w:num w:numId="6">
    <w:abstractNumId w:val="25"/>
  </w:num>
  <w:num w:numId="7">
    <w:abstractNumId w:val="12"/>
  </w:num>
  <w:num w:numId="8">
    <w:abstractNumId w:val="19"/>
  </w:num>
  <w:num w:numId="9">
    <w:abstractNumId w:val="16"/>
  </w:num>
  <w:num w:numId="10">
    <w:abstractNumId w:val="23"/>
  </w:num>
  <w:num w:numId="11">
    <w:abstractNumId w:val="14"/>
  </w:num>
  <w:num w:numId="12">
    <w:abstractNumId w:val="9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0"/>
  </w:num>
  <w:num w:numId="23">
    <w:abstractNumId w:val="11"/>
  </w:num>
  <w:num w:numId="24">
    <w:abstractNumId w:val="15"/>
  </w:num>
  <w:num w:numId="25">
    <w:abstractNumId w:val="29"/>
  </w:num>
  <w:num w:numId="26">
    <w:abstractNumId w:val="18"/>
  </w:num>
  <w:num w:numId="27">
    <w:abstractNumId w:val="26"/>
  </w:num>
  <w:num w:numId="28">
    <w:abstractNumId w:val="13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stylePaneSortMethod w:val="0000"/>
  <w:defaultTabStop w:val="709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D9"/>
    <w:rsid w:val="0002740A"/>
    <w:rsid w:val="000341C4"/>
    <w:rsid w:val="00040D30"/>
    <w:rsid w:val="0004506C"/>
    <w:rsid w:val="00063455"/>
    <w:rsid w:val="0006385C"/>
    <w:rsid w:val="00070DDD"/>
    <w:rsid w:val="00094B8F"/>
    <w:rsid w:val="000A4F6D"/>
    <w:rsid w:val="000B4DC8"/>
    <w:rsid w:val="000B5A91"/>
    <w:rsid w:val="000B7CCA"/>
    <w:rsid w:val="000D04C2"/>
    <w:rsid w:val="000D59FC"/>
    <w:rsid w:val="001068FF"/>
    <w:rsid w:val="00107050"/>
    <w:rsid w:val="00107565"/>
    <w:rsid w:val="00120E65"/>
    <w:rsid w:val="00151ACD"/>
    <w:rsid w:val="00156D52"/>
    <w:rsid w:val="00161F75"/>
    <w:rsid w:val="00171799"/>
    <w:rsid w:val="001A142E"/>
    <w:rsid w:val="001B2785"/>
    <w:rsid w:val="001B4755"/>
    <w:rsid w:val="001C0A62"/>
    <w:rsid w:val="001D2926"/>
    <w:rsid w:val="001D742A"/>
    <w:rsid w:val="001E083D"/>
    <w:rsid w:val="001E08C8"/>
    <w:rsid w:val="001E544A"/>
    <w:rsid w:val="001F2921"/>
    <w:rsid w:val="001F7A23"/>
    <w:rsid w:val="00206224"/>
    <w:rsid w:val="0024079F"/>
    <w:rsid w:val="00244ADB"/>
    <w:rsid w:val="00245CB7"/>
    <w:rsid w:val="0026444C"/>
    <w:rsid w:val="0027436D"/>
    <w:rsid w:val="002970A6"/>
    <w:rsid w:val="002A793D"/>
    <w:rsid w:val="002D0E62"/>
    <w:rsid w:val="002E2129"/>
    <w:rsid w:val="003057EA"/>
    <w:rsid w:val="00321267"/>
    <w:rsid w:val="00322EFA"/>
    <w:rsid w:val="003353FC"/>
    <w:rsid w:val="00341060"/>
    <w:rsid w:val="0035162B"/>
    <w:rsid w:val="00354ADE"/>
    <w:rsid w:val="00356889"/>
    <w:rsid w:val="003671AA"/>
    <w:rsid w:val="0039023D"/>
    <w:rsid w:val="00396DB7"/>
    <w:rsid w:val="003B67D9"/>
    <w:rsid w:val="003D4CC5"/>
    <w:rsid w:val="003D6D16"/>
    <w:rsid w:val="003F2894"/>
    <w:rsid w:val="004073ED"/>
    <w:rsid w:val="00423E11"/>
    <w:rsid w:val="00433168"/>
    <w:rsid w:val="00441243"/>
    <w:rsid w:val="00443090"/>
    <w:rsid w:val="0046687E"/>
    <w:rsid w:val="004D7571"/>
    <w:rsid w:val="005575E2"/>
    <w:rsid w:val="005802C2"/>
    <w:rsid w:val="005817E1"/>
    <w:rsid w:val="00591EF2"/>
    <w:rsid w:val="005B3B05"/>
    <w:rsid w:val="005C51A0"/>
    <w:rsid w:val="005D0D37"/>
    <w:rsid w:val="005D3663"/>
    <w:rsid w:val="005E09B7"/>
    <w:rsid w:val="00601641"/>
    <w:rsid w:val="00601A09"/>
    <w:rsid w:val="0063034B"/>
    <w:rsid w:val="00641AFA"/>
    <w:rsid w:val="006668C7"/>
    <w:rsid w:val="0068305C"/>
    <w:rsid w:val="00693EDE"/>
    <w:rsid w:val="006D4EF3"/>
    <w:rsid w:val="00703939"/>
    <w:rsid w:val="0072733C"/>
    <w:rsid w:val="00746AA4"/>
    <w:rsid w:val="00764456"/>
    <w:rsid w:val="007769B7"/>
    <w:rsid w:val="007852BD"/>
    <w:rsid w:val="007932F0"/>
    <w:rsid w:val="0079586A"/>
    <w:rsid w:val="007C4ACA"/>
    <w:rsid w:val="00807787"/>
    <w:rsid w:val="0081408E"/>
    <w:rsid w:val="008325B3"/>
    <w:rsid w:val="008429AE"/>
    <w:rsid w:val="00886EB4"/>
    <w:rsid w:val="008C1022"/>
    <w:rsid w:val="008D4B0A"/>
    <w:rsid w:val="008E1312"/>
    <w:rsid w:val="00906387"/>
    <w:rsid w:val="0094360F"/>
    <w:rsid w:val="00957BFD"/>
    <w:rsid w:val="00957DC0"/>
    <w:rsid w:val="0097675C"/>
    <w:rsid w:val="009842D3"/>
    <w:rsid w:val="009979BA"/>
    <w:rsid w:val="009A04BE"/>
    <w:rsid w:val="009C344B"/>
    <w:rsid w:val="009C7D31"/>
    <w:rsid w:val="009D324D"/>
    <w:rsid w:val="009F5A8C"/>
    <w:rsid w:val="00A322EA"/>
    <w:rsid w:val="00A43AD7"/>
    <w:rsid w:val="00A503C0"/>
    <w:rsid w:val="00A50536"/>
    <w:rsid w:val="00A50F3B"/>
    <w:rsid w:val="00AA3012"/>
    <w:rsid w:val="00AA544F"/>
    <w:rsid w:val="00AE661C"/>
    <w:rsid w:val="00AF220E"/>
    <w:rsid w:val="00B031F3"/>
    <w:rsid w:val="00B04417"/>
    <w:rsid w:val="00B15304"/>
    <w:rsid w:val="00B76D4C"/>
    <w:rsid w:val="00B8038B"/>
    <w:rsid w:val="00B90A1F"/>
    <w:rsid w:val="00B921A9"/>
    <w:rsid w:val="00B9360A"/>
    <w:rsid w:val="00BA0A88"/>
    <w:rsid w:val="00BB701B"/>
    <w:rsid w:val="00BC647F"/>
    <w:rsid w:val="00BF0C38"/>
    <w:rsid w:val="00C07998"/>
    <w:rsid w:val="00C27471"/>
    <w:rsid w:val="00C30A45"/>
    <w:rsid w:val="00C312CE"/>
    <w:rsid w:val="00C346A5"/>
    <w:rsid w:val="00C36ACB"/>
    <w:rsid w:val="00C403B6"/>
    <w:rsid w:val="00C47A58"/>
    <w:rsid w:val="00C56EC9"/>
    <w:rsid w:val="00C6040E"/>
    <w:rsid w:val="00C85D6A"/>
    <w:rsid w:val="00CA1C73"/>
    <w:rsid w:val="00CC4A8F"/>
    <w:rsid w:val="00CD034E"/>
    <w:rsid w:val="00CD5DCF"/>
    <w:rsid w:val="00D21618"/>
    <w:rsid w:val="00D23332"/>
    <w:rsid w:val="00D2645E"/>
    <w:rsid w:val="00D768E8"/>
    <w:rsid w:val="00D76C00"/>
    <w:rsid w:val="00D87065"/>
    <w:rsid w:val="00D97C80"/>
    <w:rsid w:val="00DA19F3"/>
    <w:rsid w:val="00DB0561"/>
    <w:rsid w:val="00DB4E32"/>
    <w:rsid w:val="00DC030C"/>
    <w:rsid w:val="00E017FF"/>
    <w:rsid w:val="00E050E9"/>
    <w:rsid w:val="00E10517"/>
    <w:rsid w:val="00E369AC"/>
    <w:rsid w:val="00E501C9"/>
    <w:rsid w:val="00E62618"/>
    <w:rsid w:val="00E75BB3"/>
    <w:rsid w:val="00E86678"/>
    <w:rsid w:val="00EA3245"/>
    <w:rsid w:val="00EC0082"/>
    <w:rsid w:val="00EC4411"/>
    <w:rsid w:val="00ED3DBD"/>
    <w:rsid w:val="00EE573B"/>
    <w:rsid w:val="00EF2390"/>
    <w:rsid w:val="00F07B42"/>
    <w:rsid w:val="00F15960"/>
    <w:rsid w:val="00F20FEB"/>
    <w:rsid w:val="00F337BE"/>
    <w:rsid w:val="00F34118"/>
    <w:rsid w:val="00F47343"/>
    <w:rsid w:val="00F501AD"/>
    <w:rsid w:val="00F70A9F"/>
    <w:rsid w:val="00F753F4"/>
    <w:rsid w:val="00F90A66"/>
    <w:rsid w:val="00FC2D6E"/>
    <w:rsid w:val="00FC5833"/>
    <w:rsid w:val="00FC6974"/>
    <w:rsid w:val="19F45F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8146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71AA"/>
    <w:rPr>
      <w:rFonts w:eastAsia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5817E1"/>
    <w:pPr>
      <w:keepNext/>
      <w:jc w:val="center"/>
      <w:outlineLvl w:val="0"/>
    </w:pPr>
    <w:rPr>
      <w:rFonts w:ascii="Helvetica" w:eastAsia="Malgun Gothic" w:hAnsi="Helvetica" w:cs="Malgun Gothic"/>
      <w:b/>
      <w:bCs/>
      <w:caps/>
      <w:color w:val="005881"/>
      <w:sz w:val="18"/>
      <w:szCs w:val="18"/>
      <w:lang w:val="de-DE" w:eastAsia="de-DE"/>
    </w:rPr>
  </w:style>
  <w:style w:type="paragraph" w:styleId="Titre2">
    <w:name w:val="heading 2"/>
    <w:basedOn w:val="Normal"/>
    <w:next w:val="Normal"/>
    <w:qFormat/>
    <w:rsid w:val="004A222F"/>
    <w:pPr>
      <w:keepNext/>
      <w:spacing w:before="240" w:after="60"/>
      <w:outlineLvl w:val="1"/>
    </w:pPr>
    <w:rPr>
      <w:rFonts w:ascii="Arial" w:eastAsia="Malgun Gothic" w:hAnsi="Arial" w:cs="Malgun Gothic"/>
      <w:b/>
      <w:i/>
      <w:sz w:val="28"/>
      <w:szCs w:val="28"/>
      <w:lang w:val="de-DE"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817E1"/>
    <w:pPr>
      <w:tabs>
        <w:tab w:val="center" w:pos="4536"/>
        <w:tab w:val="right" w:pos="9072"/>
      </w:tabs>
    </w:pPr>
    <w:rPr>
      <w:rFonts w:eastAsia="Malgun Gothic" w:cs="Malgun Gothic"/>
      <w:lang w:val="de-DE" w:eastAsia="de-DE"/>
    </w:rPr>
  </w:style>
  <w:style w:type="character" w:customStyle="1" w:styleId="Titre1Car">
    <w:name w:val="Titre 1 Car"/>
    <w:basedOn w:val="Policepardfaut"/>
    <w:link w:val="Titre1"/>
    <w:uiPriority w:val="9"/>
    <w:locked/>
    <w:rsid w:val="005817E1"/>
    <w:rPr>
      <w:rFonts w:ascii="Cambria" w:eastAsia="Malgun Gothic" w:hAnsi="Cambria" w:cs="Times New Roman"/>
      <w:b/>
      <w:bCs/>
      <w:kern w:val="32"/>
      <w:sz w:val="32"/>
      <w:szCs w:val="32"/>
      <w:lang w:val="de-DE" w:eastAsia="de-DE"/>
    </w:rPr>
  </w:style>
  <w:style w:type="paragraph" w:styleId="Pieddepage">
    <w:name w:val="footer"/>
    <w:basedOn w:val="Normal"/>
    <w:link w:val="PieddepageCar"/>
    <w:uiPriority w:val="99"/>
    <w:rsid w:val="005817E1"/>
    <w:pPr>
      <w:tabs>
        <w:tab w:val="center" w:pos="4536"/>
        <w:tab w:val="right" w:pos="9072"/>
      </w:tabs>
    </w:pPr>
    <w:rPr>
      <w:rFonts w:eastAsia="Malgun Gothic" w:cs="Malgun Gothic"/>
      <w:lang w:val="de-DE" w:eastAsia="de-DE"/>
    </w:rPr>
  </w:style>
  <w:style w:type="character" w:customStyle="1" w:styleId="En-tteCar">
    <w:name w:val="En-tête Car"/>
    <w:basedOn w:val="Policepardfaut"/>
    <w:link w:val="En-tte"/>
    <w:uiPriority w:val="99"/>
    <w:locked/>
    <w:rsid w:val="005817E1"/>
    <w:rPr>
      <w:rFonts w:cs="Malgun Gothic"/>
      <w:sz w:val="24"/>
      <w:szCs w:val="24"/>
      <w:lang w:val="de-DE" w:eastAsia="de-DE"/>
    </w:rPr>
  </w:style>
  <w:style w:type="character" w:styleId="Numrodepage">
    <w:name w:val="page number"/>
    <w:basedOn w:val="Policepardfaut"/>
    <w:uiPriority w:val="99"/>
    <w:rsid w:val="005817E1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paragraph" w:styleId="Corpsdetexte">
    <w:name w:val="Body Text"/>
    <w:basedOn w:val="Normal"/>
    <w:link w:val="CorpsdetexteCar"/>
    <w:uiPriority w:val="99"/>
    <w:rsid w:val="005817E1"/>
    <w:pPr>
      <w:jc w:val="center"/>
    </w:pPr>
    <w:rPr>
      <w:rFonts w:eastAsia="Malgun Gothic" w:cs="Malgun Gothic"/>
      <w:b/>
      <w:bCs/>
      <w:sz w:val="28"/>
      <w:szCs w:val="28"/>
      <w:lang w:val="en-GB" w:eastAsia="de-DE"/>
    </w:rPr>
  </w:style>
  <w:style w:type="paragraph" w:styleId="Corpsdetexte2">
    <w:name w:val="Body Text 2"/>
    <w:basedOn w:val="Normal"/>
    <w:link w:val="Corpsdetexte2Car"/>
    <w:uiPriority w:val="99"/>
    <w:rsid w:val="005817E1"/>
    <w:pPr>
      <w:tabs>
        <w:tab w:val="left" w:pos="360"/>
      </w:tabs>
      <w:spacing w:line="300" w:lineRule="exact"/>
    </w:pPr>
    <w:rPr>
      <w:rFonts w:ascii="Arial" w:eastAsia="Malgun Gothic" w:hAnsi="Arial" w:cs="Malgun Gothic"/>
      <w:sz w:val="22"/>
      <w:szCs w:val="22"/>
      <w:lang w:val="de-DE" w:eastAsia="de-DE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character" w:styleId="Lienhypertexte">
    <w:name w:val="Hyperlink"/>
    <w:basedOn w:val="Policepardfaut"/>
    <w:uiPriority w:val="99"/>
    <w:rsid w:val="005817E1"/>
    <w:rPr>
      <w:rFonts w:cs="Times New Roman"/>
      <w:color w:val="0000FF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5817E1"/>
    <w:rPr>
      <w:rFonts w:cs="Malgun Gothic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rsid w:val="005817E1"/>
    <w:rPr>
      <w:rFonts w:ascii="Malgun Gothic" w:eastAsia="Malgun Gothic" w:hAnsi="Malgun Gothic" w:cs="Malgun Gothic"/>
      <w:sz w:val="18"/>
      <w:szCs w:val="18"/>
      <w:lang w:val="de-DE" w:eastAsia="de-DE"/>
    </w:rPr>
  </w:style>
  <w:style w:type="character" w:styleId="Lienhypertextesuivivisit">
    <w:name w:val="FollowedHyperlink"/>
    <w:basedOn w:val="Policepardfaut"/>
    <w:uiPriority w:val="99"/>
    <w:semiHidden/>
    <w:unhideWhenUsed/>
    <w:rsid w:val="00D3377F"/>
    <w:rPr>
      <w:rFonts w:cs="Times New Roman"/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5817E1"/>
    <w:rPr>
      <w:rFonts w:ascii="Malgun Gothic" w:eastAsia="Malgun Gothic" w:hAnsi="Malgun Gothic" w:cs="Malgun Gothic"/>
      <w:sz w:val="18"/>
      <w:szCs w:val="18"/>
      <w:lang w:val="de-DE" w:eastAsia="de-DE"/>
    </w:rPr>
  </w:style>
  <w:style w:type="character" w:styleId="lev">
    <w:name w:val="Strong"/>
    <w:basedOn w:val="Policepardfaut"/>
    <w:qFormat/>
    <w:rsid w:val="004A222F"/>
    <w:rPr>
      <w:b/>
      <w:bCs/>
    </w:rPr>
  </w:style>
  <w:style w:type="character" w:customStyle="1" w:styleId="style41">
    <w:name w:val="style41"/>
    <w:basedOn w:val="Policepardfaut"/>
    <w:rsid w:val="004A222F"/>
    <w:rPr>
      <w:b/>
      <w:bCs/>
      <w:color w:val="006E8A"/>
    </w:rPr>
  </w:style>
  <w:style w:type="character" w:styleId="Marquedecommentaire">
    <w:name w:val="annotation reference"/>
    <w:basedOn w:val="Policepardfaut"/>
    <w:uiPriority w:val="99"/>
    <w:semiHidden/>
    <w:unhideWhenUsed/>
    <w:rsid w:val="000D52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5213"/>
    <w:rPr>
      <w:rFonts w:eastAsia="Malgun Gothic" w:cs="Malgun Gothic"/>
      <w:sz w:val="20"/>
      <w:szCs w:val="20"/>
      <w:lang w:val="de-DE" w:eastAsia="de-D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5213"/>
    <w:rPr>
      <w:rFonts w:cs="Malgun Gothic"/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52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5213"/>
    <w:rPr>
      <w:rFonts w:cs="Malgun Gothic"/>
      <w:b/>
      <w:bCs/>
      <w:lang w:val="de-DE" w:eastAsia="de-DE"/>
    </w:rPr>
  </w:style>
  <w:style w:type="character" w:customStyle="1" w:styleId="style3">
    <w:name w:val="style3"/>
    <w:basedOn w:val="Policepardfaut"/>
    <w:rsid w:val="005A3353"/>
  </w:style>
  <w:style w:type="paragraph" w:customStyle="1" w:styleId="Body">
    <w:name w:val="Body"/>
    <w:rsid w:val="00CF1D70"/>
    <w:pPr>
      <w:spacing w:line="360" w:lineRule="auto"/>
    </w:pPr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rsid w:val="00601641"/>
    <w:rPr>
      <w:lang w:val="en-GB" w:eastAsia="en-GB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1641"/>
    <w:rPr>
      <w:rFonts w:eastAsia="Times New Roman"/>
      <w:sz w:val="24"/>
      <w:szCs w:val="24"/>
    </w:rPr>
  </w:style>
  <w:style w:type="character" w:styleId="Appelnotedebasdep">
    <w:name w:val="footnote reference"/>
    <w:uiPriority w:val="99"/>
    <w:rsid w:val="0060164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932F0"/>
    <w:pPr>
      <w:ind w:left="720"/>
      <w:contextualSpacing/>
    </w:pPr>
    <w:rPr>
      <w:rFonts w:eastAsia="Malgun Gothic" w:cs="Malgun Gothic"/>
      <w:lang w:val="de-DE" w:eastAsia="de-DE"/>
    </w:rPr>
  </w:style>
  <w:style w:type="paragraph" w:customStyle="1" w:styleId="Normal1">
    <w:name w:val="Normal1"/>
    <w:rsid w:val="001F2921"/>
    <w:pPr>
      <w:spacing w:line="276" w:lineRule="auto"/>
    </w:pPr>
    <w:rPr>
      <w:rFonts w:ascii="Arial" w:eastAsia="Arial" w:hAnsi="Arial" w:cs="Arial"/>
      <w:color w:val="000000"/>
      <w:sz w:val="22"/>
      <w:szCs w:val="22"/>
      <w:lang w:val="fr-FR" w:eastAsia="fr-FR"/>
    </w:rPr>
  </w:style>
  <w:style w:type="paragraph" w:customStyle="1" w:styleId="Default">
    <w:name w:val="Default"/>
    <w:rsid w:val="00C56E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CH" w:eastAsia="en-US"/>
    </w:rPr>
  </w:style>
  <w:style w:type="paragraph" w:customStyle="1" w:styleId="p1">
    <w:name w:val="p1"/>
    <w:basedOn w:val="Normal"/>
    <w:rsid w:val="00A322EA"/>
    <w:pPr>
      <w:shd w:val="clear" w:color="auto" w:fill="FFFFFF"/>
    </w:pPr>
    <w:rPr>
      <w:rFonts w:ascii="Arial" w:eastAsia="Malgun Gothic" w:hAnsi="Arial" w:cs="Arial"/>
      <w:color w:val="4B5055"/>
      <w:sz w:val="21"/>
      <w:szCs w:val="21"/>
    </w:rPr>
  </w:style>
  <w:style w:type="character" w:customStyle="1" w:styleId="s1">
    <w:name w:val="s1"/>
    <w:basedOn w:val="Policepardfaut"/>
    <w:rsid w:val="00A322EA"/>
  </w:style>
  <w:style w:type="paragraph" w:styleId="Titre">
    <w:name w:val="Title"/>
    <w:basedOn w:val="Normal"/>
    <w:next w:val="Normal"/>
    <w:link w:val="TitreCar"/>
    <w:qFormat/>
    <w:rsid w:val="001E08C8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en"/>
    </w:rPr>
  </w:style>
  <w:style w:type="character" w:customStyle="1" w:styleId="TitreCar">
    <w:name w:val="Titre Car"/>
    <w:basedOn w:val="Policepardfaut"/>
    <w:link w:val="Titre"/>
    <w:rsid w:val="001E08C8"/>
    <w:rPr>
      <w:rFonts w:ascii="Trebuchet MS" w:eastAsia="Trebuchet MS" w:hAnsi="Trebuchet MS" w:cs="Trebuchet MS"/>
      <w:sz w:val="42"/>
      <w:szCs w:val="42"/>
      <w:lang w:val="en" w:eastAsia="fr-FR"/>
    </w:rPr>
  </w:style>
  <w:style w:type="character" w:styleId="Mentionnonrsolue">
    <w:name w:val="Unresolved Mention"/>
    <w:basedOn w:val="Policepardfaut"/>
    <w:uiPriority w:val="99"/>
    <w:rsid w:val="00D76C00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423E11"/>
    <w:rPr>
      <w:rFonts w:eastAsia="Times New Roman"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unhideWhenUsed/>
    <w:rsid w:val="00F159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ma.net/policies-post/wma-statement-on-mobile-healt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ma.net/policies-post/wma-declaration-of-taipei-on-ethical-considerations-regarding-health-databases-and-biobank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1935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 the</vt:lpstr>
    </vt:vector>
  </TitlesOfParts>
  <Manager/>
  <Company>BÄK</Company>
  <LinksUpToDate>false</LinksUpToDate>
  <CharactersWithSpaces>2250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</dc:title>
  <dc:subject/>
  <dc:creator>Otmar Kloiber</dc:creator>
  <cp:keywords/>
  <dc:description/>
  <cp:lastModifiedBy>Clarisse Delorme</cp:lastModifiedBy>
  <cp:revision>7</cp:revision>
  <cp:lastPrinted>2020-01-16T11:14:00Z</cp:lastPrinted>
  <dcterms:created xsi:type="dcterms:W3CDTF">2020-01-29T10:54:00Z</dcterms:created>
  <dcterms:modified xsi:type="dcterms:W3CDTF">2020-01-30T15:26:00Z</dcterms:modified>
  <cp:category/>
</cp:coreProperties>
</file>